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附件1</w:t>
      </w:r>
    </w:p>
    <w:p>
      <w:pPr>
        <w:pStyle w:val="2"/>
        <w:spacing w:before="0" w:after="0" w:line="240" w:lineRule="auto"/>
        <w:jc w:val="center"/>
        <w:rPr>
          <w:rFonts w:hint="eastAsia" w:ascii="黑体" w:hAnsi="黑体" w:cs="黑体"/>
          <w:color w:val="auto"/>
          <w:szCs w:val="32"/>
        </w:rPr>
      </w:pPr>
      <w:r>
        <w:rPr>
          <w:rFonts w:hint="eastAsia" w:ascii="黑体" w:hAnsi="黑体" w:cs="黑体"/>
          <w:color w:val="auto"/>
          <w:szCs w:val="32"/>
        </w:rPr>
        <w:t>科技活动月优秀组织奖评分标准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（满分100分）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080"/>
        <w:gridCol w:w="3219"/>
        <w:gridCol w:w="2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 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值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评分标准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竞赛项目数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基本分10分，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项目数需达到各系专业的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0%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以上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参赛学生人数比例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根据各系参赛学生人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数比例评分,参赛人数在10％-20%得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分, 参赛人数在20％-30%得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分, 参赛人数在30％-50%得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分，参赛人数大于50％得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分。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公式为：参赛人数/各系总人数=参赛人数比例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科技立项项目数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15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重点项目每项得5分，一般项目每项得3分，满分1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分。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科技立项结题率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立项结题率＜50％不予得分，结题率≥50％得4分，结题率≥ 75％得6分，全部结题者得10分。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竞赛宣传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各系要结合竞赛项目做好宣传工作，及时报道竞赛项目并向团委提交宣传稿件。一项未宣传扣4分，直至扣完为止。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竞赛组织工作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竞赛组织严密，有专人负责，各系学生干部能积极配合做好组织宣传工作，得6分；及时上交竞赛各项材料，满分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分，未及时上交的每项扣2分，直至扣完为止。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材料完整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竞赛各项材料没有错误的，得1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分；如未按要求提交的每发现一处错误扣3分，直至扣完为止。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科技作品展分数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25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根据科技作品展打分要求，实际得分*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﹪=本系此项得分。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88" w:type="dxa"/>
            <w:gridSpan w:val="6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共计：100分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779E"/>
    <w:rsid w:val="573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2020-11-10T08:49:00Z</dcterms:created>
  <dc:creator>Administrator</dc:creator>
  <cp:lastModifiedBy>Administrator</cp:lastModifiedBy>
  <dcterms:modified xsi:type="dcterms:W3CDTF">2020-11-10T08:50:21Z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