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480" w:lineRule="exact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ascii="Times New Roman" w:hAnsi="Times New Roman" w:eastAsia="方正仿宋_GBK"/>
          <w:color w:val="333333"/>
          <w:sz w:val="28"/>
          <w:szCs w:val="28"/>
          <w:shd w:val="clear" w:color="auto" w:fill="FFFFFF"/>
        </w:rPr>
        <w:t>附件1：</w:t>
      </w:r>
    </w:p>
    <w:p>
      <w:pPr>
        <w:spacing w:line="360" w:lineRule="auto"/>
        <w:jc w:val="center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桂林理工大学</w:t>
      </w:r>
      <w:bookmarkStart w:id="0" w:name="_GoBack"/>
      <w:bookmarkEnd w:id="0"/>
      <w:r>
        <w:rPr>
          <w:rFonts w:hint="eastAsia" w:ascii="方正小标宋_GBK" w:hAnsi="黑体" w:eastAsia="方正小标宋_GBK"/>
          <w:sz w:val="36"/>
          <w:szCs w:val="36"/>
        </w:rPr>
        <w:t>“活力团支部”创建单位</w:t>
      </w:r>
    </w:p>
    <w:p>
      <w:pPr>
        <w:spacing w:line="360" w:lineRule="auto"/>
        <w:jc w:val="center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验收情况表</w:t>
      </w:r>
    </w:p>
    <w:p>
      <w:pPr>
        <w:spacing w:line="360" w:lineRule="auto"/>
        <w:jc w:val="left"/>
        <w:rPr>
          <w:rFonts w:ascii="仿宋_GB2312" w:hAnsi="黑体" w:eastAsia="仿宋_GB2312"/>
          <w:sz w:val="28"/>
          <w:szCs w:val="28"/>
          <w:u w:val="single"/>
        </w:rPr>
      </w:pPr>
      <w:r>
        <w:rPr>
          <w:rFonts w:hint="eastAsia" w:ascii="仿宋_GB2312" w:hAnsi="黑体" w:eastAsia="仿宋_GB2312"/>
          <w:sz w:val="28"/>
          <w:szCs w:val="28"/>
        </w:rPr>
        <w:t>学院：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394"/>
        <w:gridCol w:w="1701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支部</w:t>
            </w:r>
            <w:r>
              <w:rPr>
                <w:rFonts w:ascii="仿宋_GB2312" w:hAnsi="黑体" w:eastAsia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支部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自评等级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val="en-US" w:eastAsia="zh-CN"/>
              </w:rPr>
              <w:t>分校</w:t>
            </w: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团委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黑体" w:eastAsia="仿宋_GB2312"/>
                <w:b/>
                <w:bCs/>
                <w:sz w:val="28"/>
                <w:szCs w:val="28"/>
              </w:rPr>
              <w:t>验收等级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</w:pPr>
      <w:r>
        <w:rPr>
          <w:rFonts w:hint="eastAsia" w:ascii="仿宋_GB2312" w:hAnsi="黑体" w:eastAsia="仿宋_GB2312"/>
          <w:sz w:val="28"/>
          <w:szCs w:val="28"/>
        </w:rPr>
        <w:t>注</w:t>
      </w:r>
      <w:r>
        <w:rPr>
          <w:rFonts w:ascii="仿宋_GB2312" w:hAnsi="黑体" w:eastAsia="仿宋_GB2312"/>
          <w:sz w:val="28"/>
          <w:szCs w:val="28"/>
        </w:rPr>
        <w:t>：等级分为优秀、良好、通过</w:t>
      </w:r>
      <w:r>
        <w:rPr>
          <w:rFonts w:hint="eastAsia" w:ascii="仿宋_GB2312" w:hAnsi="黑体" w:eastAsia="仿宋_GB2312"/>
          <w:sz w:val="28"/>
          <w:szCs w:val="28"/>
        </w:rPr>
        <w:t>、</w:t>
      </w:r>
      <w:r>
        <w:rPr>
          <w:rFonts w:ascii="仿宋_GB2312" w:hAnsi="黑体" w:eastAsia="仿宋_GB2312"/>
          <w:sz w:val="28"/>
          <w:szCs w:val="28"/>
        </w:rPr>
        <w:t>不通过。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AC"/>
    <w:rsid w:val="003F518D"/>
    <w:rsid w:val="005A2818"/>
    <w:rsid w:val="005A62CC"/>
    <w:rsid w:val="00935FAC"/>
    <w:rsid w:val="02CA7969"/>
    <w:rsid w:val="0CB20BE5"/>
    <w:rsid w:val="0D1248F4"/>
    <w:rsid w:val="0DC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110</Characters>
  <Lines>1</Lines>
  <Paragraphs>1</Paragraphs>
  <TotalTime>1</TotalTime>
  <ScaleCrop>false</ScaleCrop>
  <LinksUpToDate>false</LinksUpToDate>
  <CharactersWithSpaces>128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2019-12-02T07:56:00Z</dcterms:created>
  <dc:creator>User</dc:creator>
  <cp:lastModifiedBy>木子千人</cp:lastModifiedBy>
  <dcterms:modified xsi:type="dcterms:W3CDTF">2020-11-23T06:36:03Z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